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BCF" w:rsidRPr="00D92BCF" w:rsidRDefault="00D92BCF" w:rsidP="00D92BCF">
      <w:pPr>
        <w:spacing w:after="120"/>
        <w:rPr>
          <w:rFonts w:ascii="Times New Roman" w:hAnsi="Times New Roman"/>
          <w:sz w:val="22"/>
        </w:rPr>
      </w:pPr>
      <w:r w:rsidRPr="00D92BCF">
        <w:rPr>
          <w:rFonts w:ascii="Times New Roman" w:hAnsi="Times New Roman"/>
          <w:sz w:val="22"/>
        </w:rPr>
        <w:t xml:space="preserve">L. </w:t>
      </w:r>
      <w:proofErr w:type="spellStart"/>
      <w:r w:rsidRPr="00D92BCF">
        <w:rPr>
          <w:rFonts w:ascii="Times New Roman" w:hAnsi="Times New Roman"/>
          <w:sz w:val="22"/>
        </w:rPr>
        <w:t>Imbeau</w:t>
      </w:r>
      <w:proofErr w:type="spellEnd"/>
      <w:r w:rsidRPr="00D92BCF">
        <w:rPr>
          <w:rFonts w:ascii="Times New Roman" w:hAnsi="Times New Roman"/>
          <w:sz w:val="22"/>
        </w:rPr>
        <w:t xml:space="preserve"> et al., “Comparative Provincial Policy Analysis: A Research Agenda,” </w:t>
      </w:r>
      <w:r w:rsidRPr="00D92BCF">
        <w:rPr>
          <w:rFonts w:ascii="Times New Roman" w:hAnsi="Times New Roman"/>
          <w:i/>
          <w:sz w:val="22"/>
        </w:rPr>
        <w:t>CJPS</w:t>
      </w:r>
      <w:r w:rsidRPr="00D92BCF">
        <w:rPr>
          <w:rFonts w:ascii="Times New Roman" w:hAnsi="Times New Roman"/>
          <w:sz w:val="22"/>
        </w:rPr>
        <w:t xml:space="preserve"> 33:4 (December 2000)</w:t>
      </w:r>
    </w:p>
    <w:p w:rsidR="00D92BCF" w:rsidRPr="00D92BCF" w:rsidRDefault="00D92BCF" w:rsidP="00D92BCF">
      <w:pPr>
        <w:spacing w:after="120"/>
        <w:rPr>
          <w:rFonts w:ascii="Times New Roman" w:hAnsi="Times New Roman"/>
          <w:b/>
          <w:sz w:val="22"/>
        </w:rPr>
      </w:pPr>
    </w:p>
    <w:p w:rsidR="00D92BCF" w:rsidRDefault="00D92BCF" w:rsidP="00D92BCF">
      <w:pPr>
        <w:spacing w:after="120"/>
        <w:rPr>
          <w:rFonts w:ascii="Times New Roman" w:hAnsi="Times New Roman"/>
          <w:b/>
          <w:sz w:val="22"/>
        </w:rPr>
      </w:pPr>
      <w:r w:rsidRPr="00D92BCF">
        <w:rPr>
          <w:rFonts w:ascii="Times New Roman" w:hAnsi="Times New Roman"/>
          <w:b/>
          <w:sz w:val="22"/>
        </w:rPr>
        <w:t>Overview</w:t>
      </w:r>
    </w:p>
    <w:p w:rsidR="00D92BCF" w:rsidRDefault="00D92BCF" w:rsidP="00D92BCF">
      <w:pPr>
        <w:spacing w:after="120"/>
        <w:rPr>
          <w:rFonts w:ascii="Times New Roman" w:hAnsi="Times New Roman"/>
          <w:sz w:val="22"/>
        </w:rPr>
      </w:pPr>
      <w:r>
        <w:rPr>
          <w:rFonts w:ascii="Times New Roman" w:hAnsi="Times New Roman"/>
          <w:sz w:val="22"/>
        </w:rPr>
        <w:t xml:space="preserve">Paper argues that the 10 </w:t>
      </w:r>
      <w:proofErr w:type="spellStart"/>
      <w:r>
        <w:rPr>
          <w:rFonts w:ascii="Times New Roman" w:hAnsi="Times New Roman"/>
          <w:sz w:val="22"/>
        </w:rPr>
        <w:t>Cdn</w:t>
      </w:r>
      <w:proofErr w:type="spellEnd"/>
      <w:r>
        <w:rPr>
          <w:rFonts w:ascii="Times New Roman" w:hAnsi="Times New Roman"/>
          <w:sz w:val="22"/>
        </w:rPr>
        <w:t xml:space="preserve"> provinces offer a superb laboratory for testing hypotheses and theory building in policy analysis. Three areas of research in comparative PP stand out as being particularly well suited to analysis in this environment: (1) the growth and decline of the state; (2) the partisan influence on PP; and (3) </w:t>
      </w:r>
      <w:proofErr w:type="spellStart"/>
      <w:r>
        <w:rPr>
          <w:rFonts w:ascii="Times New Roman" w:hAnsi="Times New Roman"/>
          <w:sz w:val="22"/>
        </w:rPr>
        <w:t>neocorporatist</w:t>
      </w:r>
      <w:proofErr w:type="spellEnd"/>
      <w:r>
        <w:rPr>
          <w:rFonts w:ascii="Times New Roman" w:hAnsi="Times New Roman"/>
          <w:sz w:val="22"/>
        </w:rPr>
        <w:t xml:space="preserve"> explanations of policy outcomes.</w:t>
      </w:r>
    </w:p>
    <w:p w:rsidR="00D92BCF" w:rsidRPr="00D92BCF" w:rsidRDefault="00D92BCF" w:rsidP="00D92BCF">
      <w:pPr>
        <w:spacing w:after="120"/>
        <w:rPr>
          <w:rFonts w:ascii="Times New Roman" w:hAnsi="Times New Roman"/>
          <w:b/>
          <w:sz w:val="22"/>
        </w:rPr>
      </w:pPr>
      <w:r>
        <w:rPr>
          <w:rFonts w:ascii="Times New Roman" w:hAnsi="Times New Roman"/>
          <w:b/>
          <w:sz w:val="22"/>
        </w:rPr>
        <w:t>Backgrounder:</w:t>
      </w:r>
    </w:p>
    <w:p w:rsidR="00D92BCF" w:rsidRPr="00D92BCF" w:rsidRDefault="00D92BCF" w:rsidP="00D92BCF">
      <w:pPr>
        <w:pStyle w:val="ListParagraph"/>
        <w:numPr>
          <w:ilvl w:val="0"/>
          <w:numId w:val="1"/>
        </w:numPr>
        <w:spacing w:after="120"/>
        <w:rPr>
          <w:rFonts w:ascii="Times New Roman" w:hAnsi="Times New Roman"/>
          <w:sz w:val="22"/>
        </w:rPr>
      </w:pPr>
      <w:r w:rsidRPr="00D92BCF">
        <w:rPr>
          <w:rFonts w:ascii="Times New Roman" w:hAnsi="Times New Roman"/>
          <w:sz w:val="22"/>
        </w:rPr>
        <w:t xml:space="preserve">Bennett – “the comparative policy tradition has never been seriously embraced by </w:t>
      </w:r>
      <w:proofErr w:type="spellStart"/>
      <w:r w:rsidRPr="00D92BCF">
        <w:rPr>
          <w:rFonts w:ascii="Times New Roman" w:hAnsi="Times New Roman"/>
          <w:sz w:val="22"/>
        </w:rPr>
        <w:t>Cdn</w:t>
      </w:r>
      <w:proofErr w:type="spellEnd"/>
      <w:r w:rsidRPr="00D92BCF">
        <w:rPr>
          <w:rFonts w:ascii="Times New Roman" w:hAnsi="Times New Roman"/>
          <w:sz w:val="22"/>
        </w:rPr>
        <w:t xml:space="preserve"> policy analysts”</w:t>
      </w:r>
    </w:p>
    <w:p w:rsidR="00D92BCF" w:rsidRDefault="00D92BCF" w:rsidP="00D92BCF">
      <w:pPr>
        <w:pStyle w:val="ListParagraph"/>
        <w:numPr>
          <w:ilvl w:val="0"/>
          <w:numId w:val="1"/>
        </w:numPr>
        <w:spacing w:after="120"/>
        <w:rPr>
          <w:rFonts w:ascii="Times New Roman" w:hAnsi="Times New Roman"/>
          <w:sz w:val="22"/>
        </w:rPr>
      </w:pPr>
      <w:r>
        <w:rPr>
          <w:rFonts w:ascii="Times New Roman" w:hAnsi="Times New Roman"/>
          <w:sz w:val="22"/>
        </w:rPr>
        <w:t xml:space="preserve">Comparative provincial policy analysis in Canada has developed largely in the </w:t>
      </w:r>
      <w:r>
        <w:rPr>
          <w:rFonts w:ascii="Times New Roman" w:hAnsi="Times New Roman"/>
          <w:i/>
          <w:sz w:val="22"/>
        </w:rPr>
        <w:t>case-oriented</w:t>
      </w:r>
      <w:r>
        <w:rPr>
          <w:rFonts w:ascii="Times New Roman" w:hAnsi="Times New Roman"/>
          <w:sz w:val="22"/>
        </w:rPr>
        <w:t xml:space="preserve"> tradition (vs. the </w:t>
      </w:r>
      <w:r w:rsidRPr="00D92BCF">
        <w:rPr>
          <w:rFonts w:ascii="Times New Roman" w:hAnsi="Times New Roman"/>
          <w:i/>
          <w:sz w:val="22"/>
        </w:rPr>
        <w:t>variable-oriented</w:t>
      </w:r>
      <w:r>
        <w:rPr>
          <w:rFonts w:ascii="Times New Roman" w:hAnsi="Times New Roman"/>
          <w:sz w:val="22"/>
        </w:rPr>
        <w:t xml:space="preserve"> strategy)</w:t>
      </w:r>
    </w:p>
    <w:p w:rsidR="00D92BCF" w:rsidRDefault="00D92BCF" w:rsidP="00D92BCF">
      <w:pPr>
        <w:pStyle w:val="ListParagraph"/>
        <w:numPr>
          <w:ilvl w:val="0"/>
          <w:numId w:val="1"/>
        </w:numPr>
        <w:spacing w:after="120"/>
        <w:rPr>
          <w:rFonts w:ascii="Times New Roman" w:hAnsi="Times New Roman"/>
          <w:sz w:val="22"/>
        </w:rPr>
      </w:pPr>
      <w:r>
        <w:rPr>
          <w:rFonts w:ascii="Times New Roman" w:hAnsi="Times New Roman"/>
          <w:sz w:val="22"/>
        </w:rPr>
        <w:t>Reasons in favour of utilizing provinces in comparative PP:</w:t>
      </w:r>
    </w:p>
    <w:p w:rsidR="00D92BCF" w:rsidRDefault="00D92BCF" w:rsidP="00D92BCF">
      <w:pPr>
        <w:pStyle w:val="ListParagraph"/>
        <w:numPr>
          <w:ilvl w:val="1"/>
          <w:numId w:val="1"/>
        </w:numPr>
        <w:spacing w:after="120"/>
        <w:rPr>
          <w:rFonts w:ascii="Times New Roman" w:hAnsi="Times New Roman"/>
          <w:sz w:val="22"/>
        </w:rPr>
      </w:pPr>
      <w:proofErr w:type="spellStart"/>
      <w:r>
        <w:rPr>
          <w:rFonts w:ascii="Times New Roman" w:hAnsi="Times New Roman"/>
          <w:sz w:val="22"/>
        </w:rPr>
        <w:t>Cdn</w:t>
      </w:r>
      <w:proofErr w:type="spellEnd"/>
      <w:r>
        <w:rPr>
          <w:rFonts w:ascii="Times New Roman" w:hAnsi="Times New Roman"/>
          <w:sz w:val="22"/>
        </w:rPr>
        <w:t xml:space="preserve"> provinces share similarities making hypothesis testing easier (most similar systems)</w:t>
      </w:r>
    </w:p>
    <w:p w:rsidR="00D92BCF" w:rsidRDefault="00D92BCF" w:rsidP="00D92BCF">
      <w:pPr>
        <w:pStyle w:val="ListParagraph"/>
        <w:numPr>
          <w:ilvl w:val="1"/>
          <w:numId w:val="1"/>
        </w:numPr>
        <w:spacing w:after="120"/>
        <w:rPr>
          <w:rFonts w:ascii="Times New Roman" w:hAnsi="Times New Roman"/>
          <w:sz w:val="22"/>
        </w:rPr>
      </w:pPr>
      <w:r>
        <w:rPr>
          <w:rFonts w:ascii="Times New Roman" w:hAnsi="Times New Roman"/>
          <w:sz w:val="22"/>
        </w:rPr>
        <w:t>Despite high commonality, there is still a high level of interprovincial variability on a number of phenomena of interest (in health, education, income maintenance) as well as relatively high degree of provincial autonomy</w:t>
      </w:r>
    </w:p>
    <w:p w:rsidR="00D92BCF" w:rsidRDefault="00D92BCF" w:rsidP="00D92BCF">
      <w:pPr>
        <w:pStyle w:val="ListParagraph"/>
        <w:numPr>
          <w:ilvl w:val="1"/>
          <w:numId w:val="1"/>
        </w:numPr>
        <w:spacing w:after="120"/>
        <w:rPr>
          <w:rFonts w:ascii="Times New Roman" w:hAnsi="Times New Roman"/>
          <w:sz w:val="22"/>
        </w:rPr>
      </w:pPr>
      <w:r>
        <w:rPr>
          <w:rFonts w:ascii="Times New Roman" w:hAnsi="Times New Roman"/>
          <w:sz w:val="22"/>
        </w:rPr>
        <w:t xml:space="preserve"># </w:t>
      </w:r>
      <w:proofErr w:type="gramStart"/>
      <w:r>
        <w:rPr>
          <w:rFonts w:ascii="Times New Roman" w:hAnsi="Times New Roman"/>
          <w:sz w:val="22"/>
        </w:rPr>
        <w:t>of</w:t>
      </w:r>
      <w:proofErr w:type="gramEnd"/>
      <w:r>
        <w:rPr>
          <w:rFonts w:ascii="Times New Roman" w:hAnsi="Times New Roman"/>
          <w:sz w:val="22"/>
        </w:rPr>
        <w:t xml:space="preserve"> cases – small enough to allow comparative case studies, and large enough for statistical techniques</w:t>
      </w:r>
    </w:p>
    <w:p w:rsidR="00D92BCF" w:rsidRDefault="00D92BCF" w:rsidP="00D92BCF">
      <w:pPr>
        <w:pStyle w:val="ListParagraph"/>
        <w:numPr>
          <w:ilvl w:val="1"/>
          <w:numId w:val="1"/>
        </w:numPr>
        <w:spacing w:after="120"/>
        <w:rPr>
          <w:rFonts w:ascii="Times New Roman" w:hAnsi="Times New Roman"/>
          <w:sz w:val="22"/>
        </w:rPr>
      </w:pPr>
      <w:r>
        <w:rPr>
          <w:rFonts w:ascii="Times New Roman" w:hAnsi="Times New Roman"/>
          <w:sz w:val="22"/>
        </w:rPr>
        <w:t>Costs are lower than for international comparisons, which have costs associated with translation/interpretation, and travel</w:t>
      </w:r>
    </w:p>
    <w:p w:rsidR="00294011" w:rsidRDefault="00D92BCF" w:rsidP="00D92BCF">
      <w:pPr>
        <w:spacing w:after="120"/>
        <w:rPr>
          <w:rFonts w:ascii="Times New Roman" w:hAnsi="Times New Roman"/>
          <w:sz w:val="22"/>
        </w:rPr>
      </w:pPr>
      <w:proofErr w:type="spellStart"/>
      <w:r>
        <w:rPr>
          <w:rFonts w:ascii="Times New Roman" w:hAnsi="Times New Roman"/>
          <w:b/>
          <w:sz w:val="22"/>
        </w:rPr>
        <w:t>Lijphart’s</w:t>
      </w:r>
      <w:proofErr w:type="spellEnd"/>
      <w:r>
        <w:rPr>
          <w:rFonts w:ascii="Times New Roman" w:hAnsi="Times New Roman"/>
          <w:b/>
          <w:sz w:val="22"/>
        </w:rPr>
        <w:t xml:space="preserve"> four basic methods of research: </w:t>
      </w:r>
      <w:r>
        <w:rPr>
          <w:rFonts w:ascii="Times New Roman" w:hAnsi="Times New Roman"/>
          <w:sz w:val="22"/>
        </w:rPr>
        <w:t>(1) case studies; (2) the comparative method; (3) the experimental method; and (4) the stat</w:t>
      </w:r>
      <w:r w:rsidR="00294011">
        <w:rPr>
          <w:rFonts w:ascii="Times New Roman" w:hAnsi="Times New Roman"/>
          <w:sz w:val="22"/>
        </w:rPr>
        <w:t>istical method</w:t>
      </w:r>
    </w:p>
    <w:p w:rsidR="00294011" w:rsidRDefault="00294011" w:rsidP="00D92BCF">
      <w:pPr>
        <w:spacing w:after="120"/>
        <w:rPr>
          <w:rFonts w:ascii="Times New Roman" w:hAnsi="Times New Roman"/>
          <w:sz w:val="22"/>
        </w:rPr>
      </w:pPr>
    </w:p>
    <w:p w:rsidR="00D92BCF" w:rsidRPr="00D92BCF" w:rsidRDefault="00294011" w:rsidP="00D92BCF">
      <w:pPr>
        <w:spacing w:after="120"/>
        <w:rPr>
          <w:rFonts w:ascii="Times New Roman" w:hAnsi="Times New Roman"/>
          <w:sz w:val="22"/>
        </w:rPr>
      </w:pPr>
      <w:r>
        <w:rPr>
          <w:rFonts w:ascii="Times New Roman" w:hAnsi="Times New Roman"/>
          <w:sz w:val="22"/>
        </w:rPr>
        <w:t xml:space="preserve">“The potential contribution of comparative policy analysis in the </w:t>
      </w:r>
      <w:proofErr w:type="spellStart"/>
      <w:r>
        <w:rPr>
          <w:rFonts w:ascii="Times New Roman" w:hAnsi="Times New Roman"/>
          <w:sz w:val="22"/>
        </w:rPr>
        <w:t>Cdn</w:t>
      </w:r>
      <w:proofErr w:type="spellEnd"/>
      <w:r>
        <w:rPr>
          <w:rFonts w:ascii="Times New Roman" w:hAnsi="Times New Roman"/>
          <w:sz w:val="22"/>
        </w:rPr>
        <w:t xml:space="preserve"> provinces is clearly great enough to justify the development of research programmes to advance our understanding of industrial societies in general, and to specific problems encountered by policy actors, in particular. Such programmes could stimulate similar agendas for comparative research of regional governments in other federal states such as Switzerland, Germany and Australia, thereby contributing to the development of theories specific to sub-national public policy”</w:t>
      </w:r>
    </w:p>
    <w:sectPr w:rsidR="00D92BCF" w:rsidRPr="00D92BCF" w:rsidSect="00D92BCF">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19413A"/>
    <w:multiLevelType w:val="hybridMultilevel"/>
    <w:tmpl w:val="9B4070FE"/>
    <w:lvl w:ilvl="0" w:tplc="F5A8BCE2">
      <w:start w:val="12"/>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92BCF"/>
    <w:rsid w:val="00294011"/>
    <w:rsid w:val="00D92BCF"/>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BC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92BC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2012-04-28T15:00:00Z</dcterms:created>
  <dcterms:modified xsi:type="dcterms:W3CDTF">2012-04-28T15:18:00Z</dcterms:modified>
</cp:coreProperties>
</file>